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华文中宋"/>
          <w:sz w:val="32"/>
          <w:szCs w:val="32"/>
        </w:rPr>
      </w:pPr>
      <w:r>
        <w:rPr>
          <w:rFonts w:hint="eastAsia" w:ascii="华文中宋" w:hAnsi="华文中宋" w:eastAsia="华文中宋" w:cs="华文中宋"/>
          <w:sz w:val="32"/>
          <w:szCs w:val="32"/>
        </w:rPr>
        <w:t>附</w:t>
      </w:r>
    </w:p>
    <w:p>
      <w:pPr>
        <w:spacing w:line="560" w:lineRule="exact"/>
        <w:jc w:val="center"/>
        <w:rPr>
          <w:rFonts w:ascii="华文中宋" w:hAnsi="华文中宋" w:eastAsia="华文中宋" w:cs="华文中宋"/>
          <w:sz w:val="36"/>
          <w:szCs w:val="36"/>
        </w:rPr>
      </w:pPr>
      <w:bookmarkStart w:id="1" w:name="_GoBack"/>
      <w:r>
        <w:rPr>
          <w:rFonts w:hint="eastAsia" w:ascii="华文中宋" w:hAnsi="华文中宋" w:eastAsia="华文中宋" w:cs="华文中宋"/>
          <w:sz w:val="36"/>
          <w:szCs w:val="36"/>
        </w:rPr>
        <w:t>江苏省普通高等学校本科教育教学审核评估</w:t>
      </w:r>
    </w:p>
    <w:p>
      <w:pPr>
        <w:spacing w:line="56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指标体系（试行）</w:t>
      </w:r>
    </w:p>
    <w:bookmarkEnd w:id="1"/>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一、第一类审核评估</w:t>
      </w:r>
    </w:p>
    <w:tbl>
      <w:tblPr>
        <w:tblStyle w:val="6"/>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493"/>
        <w:gridCol w:w="6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kern w:val="0"/>
                <w:sz w:val="28"/>
                <w:szCs w:val="28"/>
              </w:rPr>
            </w:pPr>
            <w:r>
              <w:rPr>
                <w:rFonts w:hint="eastAsia" w:ascii="仿宋" w:hAnsi="仿宋" w:eastAsia="仿宋" w:cs="仿宋"/>
                <w:b/>
                <w:kern w:val="0"/>
                <w:sz w:val="28"/>
                <w:szCs w:val="28"/>
              </w:rPr>
              <w:t>一级</w:t>
            </w:r>
          </w:p>
          <w:p>
            <w:pPr>
              <w:widowControl/>
              <w:adjustRightInd w:val="0"/>
              <w:snapToGrid w:val="0"/>
              <w:spacing w:line="400" w:lineRule="exact"/>
              <w:jc w:val="center"/>
              <w:rPr>
                <w:rFonts w:ascii="仿宋" w:hAnsi="仿宋" w:eastAsia="仿宋" w:cs="仿宋"/>
                <w:b/>
                <w:kern w:val="0"/>
                <w:sz w:val="28"/>
                <w:szCs w:val="28"/>
              </w:rPr>
            </w:pPr>
            <w:r>
              <w:rPr>
                <w:rFonts w:hint="eastAsia" w:ascii="仿宋" w:hAnsi="仿宋" w:eastAsia="仿宋" w:cs="仿宋"/>
                <w:b/>
                <w:kern w:val="0"/>
                <w:sz w:val="28"/>
                <w:szCs w:val="28"/>
              </w:rPr>
              <w:t>指标</w:t>
            </w:r>
          </w:p>
        </w:tc>
        <w:tc>
          <w:tcPr>
            <w:tcW w:w="14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kern w:val="0"/>
                <w:sz w:val="28"/>
                <w:szCs w:val="28"/>
              </w:rPr>
            </w:pPr>
            <w:r>
              <w:rPr>
                <w:rFonts w:hint="eastAsia" w:ascii="仿宋" w:hAnsi="仿宋" w:eastAsia="仿宋" w:cs="仿宋"/>
                <w:b/>
                <w:kern w:val="0"/>
                <w:sz w:val="28"/>
                <w:szCs w:val="28"/>
              </w:rPr>
              <w:t>二级</w:t>
            </w:r>
          </w:p>
          <w:p>
            <w:pPr>
              <w:widowControl/>
              <w:adjustRightInd w:val="0"/>
              <w:snapToGrid w:val="0"/>
              <w:spacing w:line="400" w:lineRule="exact"/>
              <w:jc w:val="center"/>
              <w:rPr>
                <w:rFonts w:ascii="仿宋" w:hAnsi="仿宋" w:eastAsia="仿宋" w:cs="仿宋"/>
                <w:b/>
                <w:kern w:val="0"/>
                <w:sz w:val="28"/>
                <w:szCs w:val="28"/>
              </w:rPr>
            </w:pPr>
            <w:r>
              <w:rPr>
                <w:rFonts w:hint="eastAsia" w:ascii="仿宋" w:hAnsi="仿宋" w:eastAsia="仿宋" w:cs="仿宋"/>
                <w:b/>
                <w:kern w:val="0"/>
                <w:sz w:val="28"/>
                <w:szCs w:val="28"/>
              </w:rPr>
              <w:t>指标</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kern w:val="0"/>
                <w:sz w:val="28"/>
                <w:szCs w:val="28"/>
              </w:rPr>
            </w:pPr>
            <w:r>
              <w:rPr>
                <w:rFonts w:hint="eastAsia" w:ascii="仿宋" w:hAnsi="仿宋" w:eastAsia="仿宋" w:cs="仿宋"/>
                <w:b/>
                <w:kern w:val="0"/>
                <w:sz w:val="28"/>
                <w:szCs w:val="28"/>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1.党的领导</w:t>
            </w: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1.1党的全面领导和社会主义办学方向</w:t>
            </w:r>
          </w:p>
        </w:tc>
        <w:tc>
          <w:tcPr>
            <w:tcW w:w="6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1.1.1学校坚持党的全面领导，依法治教、依法办学、依法治校，围绕国家重大战略需求培养担当民族复兴大任的时代新人情况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1.1.2学校坚持社会主义办学方向、贯彻落实立德树人根本任务、</w:t>
            </w:r>
            <w:r>
              <w:rPr>
                <w:rFonts w:hint="eastAsia" w:ascii="仿宋" w:hAnsi="仿宋" w:eastAsia="仿宋" w:cs="仿宋"/>
                <w:kern w:val="0"/>
                <w:sz w:val="28"/>
                <w:szCs w:val="28"/>
                <w:lang w:val="zh-TW"/>
              </w:rPr>
              <w:t>把立德树人成效作为检验学校一切工作的根本标准</w:t>
            </w:r>
            <w:r>
              <w:rPr>
                <w:rFonts w:hint="eastAsia" w:ascii="仿宋" w:hAnsi="仿宋" w:eastAsia="仿宋" w:cs="仿宋"/>
                <w:kern w:val="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2.质量保障能力</w:t>
            </w: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2.1质保理念</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2.1.1质量保障理念及其先进性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2.1.2质量保障理念在质量保障体系建立与运行以及质量文化形成中的作用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2.2质量标准</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2.2.1依据国家相关标准，符合国家、社会及学生等利益相关者诉求的一流质量标准建设情况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2.2.2各教学环节质量标准落实情况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2.3质保机制</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2.3.1质量</w:t>
            </w:r>
            <w:r>
              <w:rPr>
                <w:rFonts w:hint="eastAsia" w:ascii="仿宋" w:hAnsi="仿宋" w:eastAsia="仿宋" w:cs="仿宋"/>
                <w:bCs/>
                <w:kern w:val="0"/>
                <w:sz w:val="28"/>
                <w:szCs w:val="28"/>
              </w:rPr>
              <w:t>保障</w:t>
            </w:r>
            <w:r>
              <w:rPr>
                <w:rFonts w:hint="eastAsia" w:ascii="仿宋" w:hAnsi="仿宋" w:eastAsia="仿宋" w:cs="仿宋"/>
                <w:kern w:val="0"/>
                <w:sz w:val="28"/>
                <w:szCs w:val="28"/>
              </w:rPr>
              <w:t>部门及其职责，质量</w:t>
            </w:r>
            <w:r>
              <w:rPr>
                <w:rFonts w:hint="eastAsia" w:ascii="仿宋" w:hAnsi="仿宋" w:eastAsia="仿宋" w:cs="仿宋"/>
                <w:bCs/>
                <w:kern w:val="0"/>
                <w:sz w:val="28"/>
                <w:szCs w:val="28"/>
              </w:rPr>
              <w:t>保障</w:t>
            </w:r>
            <w:r>
              <w:rPr>
                <w:rFonts w:hint="eastAsia" w:ascii="仿宋" w:hAnsi="仿宋" w:eastAsia="仿宋" w:cs="仿宋"/>
                <w:kern w:val="0"/>
                <w:sz w:val="28"/>
                <w:szCs w:val="28"/>
              </w:rPr>
              <w:t>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2.3.2自我评价机制、评价结果反馈机制、质量改进机制的建立与运行情况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2.4质量文化</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2.4.1自觉、自省、自律、自查、自纠的质量文化建设情况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2.4.2将质量价值观落实到教育教学各环节、将质量要求内化为全校师生的共同价值追求和行为情况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2.5质保效果</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2.5.1培养目标的达成度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2.5.2社会需求的适应度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2.5.3师资和条件的保障度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2.5.4质量保障运行的有效度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2.5.5学生和用人单位的满意度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3.教育教学水平</w:t>
            </w: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3.1思政教育</w:t>
            </w:r>
          </w:p>
        </w:tc>
        <w:tc>
          <w:tcPr>
            <w:tcW w:w="6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3.1.1落实意识形态工作责任制，思想政治工作体系建设和“三全育人”工作格局建立情况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3.1.2加强思想政治理论课教师队伍和思政课程建设情况，按要求开设“习近平总书记关于教育的重要论述研究”课程情况</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必选】</w:t>
            </w:r>
            <w:r>
              <w:rPr>
                <w:rFonts w:hint="eastAsia" w:ascii="仿宋" w:hAnsi="仿宋" w:eastAsia="仿宋" w:cs="仿宋"/>
                <w:sz w:val="28"/>
                <w:szCs w:val="28"/>
              </w:rPr>
              <w:t>思政课专任教师与折合在校生比例≥1:350</w:t>
            </w:r>
          </w:p>
          <w:p>
            <w:pPr>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【必选】生均思政工作和党务工作队伍建设专项经费≥20元</w:t>
            </w:r>
          </w:p>
          <w:p>
            <w:pPr>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【必选】专职党务工作人员和思想政治工作人员总数与全校师生人数比例≥1:100</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【必选】生均网络思政工作专项经费≥40元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3.1.3推动“课程思政”建设的创新举措与实施成效，课程思政示范课程、课程思政教学研究示范中心以及课程思政教学名师和团队的建设及选树情况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3.1.4学校对教师、学生出现思想政治、道德品质等负面问题能否及时发现和妥当处置情况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3.2本科地位</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kern w:val="0"/>
                <w:sz w:val="28"/>
                <w:szCs w:val="28"/>
              </w:rPr>
              <w:t>3.2.1坚持“以本为本”、推进“四个回归”情况；党委重视、校长主抓、院长落实一流本科教育的举措与实施成效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3.2.2学校在教师引进、职称评聘、绩效考核等制度设计中突出本科教育的具体举措与实施成效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3.3教师队伍</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3.3.1落实师德师风是评价教师第一标准的情况，落实师德考核贯穿于教育教学全过程等方面的情况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3.3.2教师教学能力满足一流人才培养需求情况，引导高水平教师投入教育教学、推动教授全员为本科生上课、上好课的政策、举措与实施成效</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必选】</w:t>
            </w:r>
            <w:r>
              <w:rPr>
                <w:rFonts w:hint="eastAsia" w:ascii="仿宋" w:hAnsi="仿宋" w:eastAsia="仿宋" w:cs="仿宋"/>
                <w:sz w:val="28"/>
                <w:szCs w:val="28"/>
              </w:rPr>
              <w:t>生师比（要求见备注3）</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必选】</w:t>
            </w:r>
            <w:r>
              <w:rPr>
                <w:rFonts w:hint="eastAsia" w:ascii="仿宋" w:hAnsi="仿宋" w:eastAsia="仿宋" w:cs="仿宋"/>
                <w:sz w:val="28"/>
                <w:szCs w:val="28"/>
              </w:rPr>
              <w:t>具有博士学位教师占专任教师比例</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必选】</w:t>
            </w:r>
            <w:r>
              <w:rPr>
                <w:rFonts w:hint="eastAsia" w:ascii="仿宋" w:hAnsi="仿宋" w:eastAsia="仿宋" w:cs="仿宋"/>
                <w:sz w:val="28"/>
                <w:szCs w:val="28"/>
              </w:rPr>
              <w:t>主讲本科课程教授占教授总数的比例</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3.3.3重视教师培训与职业发展，把习近平总书记关于教育的重要论述作为核心培训课程，把《习近平总书记教育重要论述讲义》作为核心培训教材，加强思政与党务工作队伍建设的举措与成效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3.3.4加强教师教学发展中心、基层教学组织建设的举措与成效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3.4学生发展与支持</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3.4.1面向农村和贫困地区、民族地区等以及“强基计划”的招生、培养举措与实施成效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3.4.2促进学生德智体美劳全面发展，建立系统化的学生发展和学业指导体系，探索学生成长增值评价，重视学生学习体验、自我发展能力和职业发展能力的具体措施及实施成效</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【必选】专职辅导员岗位与在校生比例≥1:200</w:t>
            </w:r>
          </w:p>
          <w:p>
            <w:pPr>
              <w:widowControl/>
              <w:adjustRightInd w:val="0"/>
              <w:snapToGrid w:val="0"/>
              <w:spacing w:line="400" w:lineRule="exact"/>
              <w:jc w:val="left"/>
              <w:rPr>
                <w:rFonts w:ascii="仿宋" w:hAnsi="仿宋" w:eastAsia="仿宋" w:cs="仿宋"/>
                <w:bCs/>
                <w:sz w:val="28"/>
                <w:szCs w:val="28"/>
              </w:rPr>
            </w:pPr>
            <w:r>
              <w:rPr>
                <w:rFonts w:hint="eastAsia" w:ascii="仿宋" w:hAnsi="仿宋" w:eastAsia="仿宋" w:cs="仿宋"/>
                <w:sz w:val="28"/>
                <w:szCs w:val="28"/>
              </w:rPr>
              <w:t>【必选】</w:t>
            </w:r>
            <w:r>
              <w:rPr>
                <w:rFonts w:hint="eastAsia" w:ascii="仿宋" w:hAnsi="仿宋" w:eastAsia="仿宋" w:cs="仿宋"/>
                <w:bCs/>
                <w:sz w:val="28"/>
                <w:szCs w:val="28"/>
              </w:rPr>
              <w:t>专职从事心理健康教育教师与在校生比例≥1:3000且至少2名</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【必选】专职就业指导教师和专职就业工作人员与应届毕业生比例≥1:500</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【必选】学生毕业必须修满公共艺术课程学分数≥2学分</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【必选】劳动教育必修课或必修课程中劳动教育模块学时总数≥32学时</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【必选】实践教学学分占总学分（学时）比例（人文社科类专业≥15%，理工农医类专业≥25%）</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【必选】以实验、实习、工程实践和社会调查等实践性工作为基础的毕业论文（设计）比例≥50%</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【必选】本科生体质测试达标率</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3.4.3近五年专业领域的优秀毕业生十个典型案例及培养经验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3.5卓越教学</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3.5.1实施“六卓越一拔尖”人才培养计划2.0、新工科、新农科、新医科、新文科建设以及一流专业“双万计划”、一流课程“双万计划”建设等举措及实施成效，围绕“培育高水平教学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3.5.2推动“以学为中心、以教为主导”的课堂教学改革，推进信息技术与教学过程融合，加强线上教学资源建设，提高课程高阶性、创新性和挑战度的举措与实施成效</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【必选】本科生生均课程门数</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【可选】开出任选课和课程总数比例</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【可选】小班授课比例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3.5.3学校党委高度重视教材建设与管理工作，相关工作机构、工作制度健全，教材审核选用标准和程序明确有效；对教材选用工作出现负面问题的处理情况</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【必选】使用马工程重点教材课程数量与学校应使用马工程重点教材课程数量的比例</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3.5.4资源建设，特别是优质的学科资源、科研资源转化应用于本科教育教学的情况</w:t>
            </w:r>
          </w:p>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【必选】</w:t>
            </w:r>
            <w:bookmarkStart w:id="0" w:name="_Hlk61602326"/>
            <w:r>
              <w:rPr>
                <w:rFonts w:hint="eastAsia" w:ascii="仿宋" w:hAnsi="仿宋" w:eastAsia="仿宋" w:cs="仿宋"/>
                <w:kern w:val="0"/>
                <w:sz w:val="28"/>
                <w:szCs w:val="28"/>
              </w:rPr>
              <w:t>生均年教学日常运行支出</w:t>
            </w:r>
            <w:bookmarkEnd w:id="0"/>
            <w:r>
              <w:rPr>
                <w:rFonts w:hint="eastAsia" w:ascii="仿宋" w:hAnsi="仿宋" w:eastAsia="仿宋" w:cs="仿宋"/>
                <w:kern w:val="0"/>
                <w:sz w:val="28"/>
                <w:szCs w:val="28"/>
              </w:rPr>
              <w:t>≥1200元（备注4）</w:t>
            </w:r>
          </w:p>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【必选】教学日常运行支出占经常性预算内教育事业费拨款（205类教育拨款扣除专项拨款）与学费收入之和的比例≥13%（教学日常运行支出统计要求见备注4）</w:t>
            </w:r>
          </w:p>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【必选】年新增教学科研仪器设备所占比例（要求见备注5）</w:t>
            </w:r>
          </w:p>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【必选】生均教学科研仪器设备值（要求见备注6）</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kern w:val="0"/>
                <w:sz w:val="28"/>
                <w:szCs w:val="28"/>
              </w:rPr>
              <w:t>可选】</w:t>
            </w:r>
            <w:r>
              <w:rPr>
                <w:rFonts w:hint="eastAsia" w:ascii="仿宋" w:hAnsi="仿宋" w:eastAsia="仿宋" w:cs="仿宋"/>
                <w:sz w:val="28"/>
                <w:szCs w:val="28"/>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3.5.5推动招生与培养联动改革的举措及成效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3.5.6推动人才培养</w:t>
            </w:r>
            <w:r>
              <w:rPr>
                <w:rFonts w:hint="eastAsia" w:ascii="仿宋" w:hAnsi="仿宋" w:eastAsia="仿宋" w:cs="仿宋"/>
                <w:bCs/>
                <w:kern w:val="0"/>
                <w:sz w:val="28"/>
                <w:szCs w:val="28"/>
              </w:rPr>
              <w:t>对外合作交流</w:t>
            </w:r>
            <w:r>
              <w:rPr>
                <w:rFonts w:hint="eastAsia" w:ascii="仿宋" w:hAnsi="仿宋" w:eastAsia="仿宋" w:cs="仿宋"/>
                <w:kern w:val="0"/>
                <w:sz w:val="28"/>
                <w:szCs w:val="28"/>
              </w:rPr>
              <w:t>的具体举措与成效</w:t>
            </w:r>
          </w:p>
          <w:p>
            <w:pPr>
              <w:widowControl/>
              <w:adjustRightInd w:val="0"/>
              <w:snapToGrid w:val="0"/>
              <w:spacing w:line="420" w:lineRule="exact"/>
              <w:jc w:val="left"/>
              <w:rPr>
                <w:rFonts w:ascii="Times New Roman" w:hAnsi="Times New Roman" w:eastAsia="仿宋" w:cs="Times New Roman"/>
                <w:bCs/>
                <w:sz w:val="28"/>
                <w:szCs w:val="28"/>
              </w:rPr>
            </w:pPr>
            <w:r>
              <w:rPr>
                <w:rFonts w:ascii="Times New Roman" w:hAnsi="Times New Roman" w:eastAsia="仿宋" w:cs="Times New Roman"/>
                <w:sz w:val="28"/>
                <w:szCs w:val="28"/>
              </w:rPr>
              <w:t>【可选】</w:t>
            </w:r>
            <w:r>
              <w:rPr>
                <w:rFonts w:ascii="Times New Roman" w:hAnsi="Times New Roman" w:eastAsia="仿宋" w:cs="Times New Roman"/>
                <w:bCs/>
                <w:sz w:val="28"/>
                <w:szCs w:val="28"/>
              </w:rPr>
              <w:t>江苏省教育对外开放质量提升工程项目</w:t>
            </w:r>
            <w:r>
              <w:rPr>
                <w:rFonts w:hint="eastAsia" w:ascii="Times New Roman" w:hAnsi="Times New Roman" w:eastAsia="仿宋" w:cs="Times New Roman"/>
                <w:bCs/>
                <w:sz w:val="28"/>
                <w:szCs w:val="28"/>
              </w:rPr>
              <w:t>立项数</w:t>
            </w:r>
          </w:p>
          <w:p>
            <w:pPr>
              <w:widowControl/>
              <w:adjustRightInd w:val="0"/>
              <w:snapToGrid w:val="0"/>
              <w:spacing w:line="440" w:lineRule="exact"/>
              <w:jc w:val="left"/>
              <w:rPr>
                <w:rFonts w:ascii="Times New Roman" w:hAnsi="Times New Roman" w:eastAsia="仿宋" w:cs="Times New Roman"/>
                <w:bCs/>
                <w:sz w:val="28"/>
                <w:szCs w:val="28"/>
              </w:rPr>
            </w:pPr>
            <w:r>
              <w:rPr>
                <w:rFonts w:ascii="Times New Roman" w:hAnsi="Times New Roman" w:eastAsia="仿宋" w:cs="Times New Roman"/>
                <w:sz w:val="28"/>
                <w:szCs w:val="28"/>
              </w:rPr>
              <w:t>【可选】</w:t>
            </w:r>
            <w:r>
              <w:rPr>
                <w:rFonts w:ascii="Times New Roman" w:hAnsi="Times New Roman" w:eastAsia="仿宋" w:cs="Times New Roman"/>
                <w:bCs/>
                <w:sz w:val="28"/>
                <w:szCs w:val="28"/>
              </w:rPr>
              <w:t>与国(境)外大学合作办学、学分互认、学位互授项目</w:t>
            </w:r>
            <w:r>
              <w:rPr>
                <w:rFonts w:hint="eastAsia" w:ascii="Times New Roman" w:hAnsi="Times New Roman" w:eastAsia="仿宋" w:cs="Times New Roman"/>
                <w:bCs/>
                <w:sz w:val="28"/>
                <w:szCs w:val="28"/>
              </w:rPr>
              <w:t>学生数</w:t>
            </w:r>
            <w:r>
              <w:rPr>
                <w:rFonts w:ascii="Times New Roman" w:hAnsi="Times New Roman" w:eastAsia="仿宋_GB2312" w:cs="Times New Roman"/>
                <w:kern w:val="0"/>
                <w:sz w:val="28"/>
                <w:szCs w:val="28"/>
              </w:rPr>
              <w:t>占在校</w:t>
            </w:r>
            <w:r>
              <w:rPr>
                <w:rFonts w:hint="eastAsia" w:ascii="Times New Roman" w:hAnsi="Times New Roman" w:eastAsia="仿宋_GB2312" w:cs="Times New Roman"/>
                <w:kern w:val="0"/>
                <w:sz w:val="28"/>
                <w:szCs w:val="28"/>
              </w:rPr>
              <w:t>本科</w:t>
            </w:r>
            <w:r>
              <w:rPr>
                <w:rFonts w:ascii="Times New Roman" w:hAnsi="Times New Roman" w:eastAsia="仿宋_GB2312" w:cs="Times New Roman"/>
                <w:kern w:val="0"/>
                <w:sz w:val="28"/>
                <w:szCs w:val="28"/>
              </w:rPr>
              <w:t>生数的比例</w:t>
            </w:r>
          </w:p>
          <w:p>
            <w:pPr>
              <w:widowControl/>
              <w:adjustRightInd w:val="0"/>
              <w:snapToGrid w:val="0"/>
              <w:spacing w:line="42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t>【可选】专任教师中具有一年以上国（境）外经历的教师比例</w:t>
            </w:r>
          </w:p>
          <w:p>
            <w:pPr>
              <w:widowControl/>
              <w:adjustRightInd w:val="0"/>
              <w:snapToGrid w:val="0"/>
              <w:spacing w:line="42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t>【可选】在学期间赴国（境）外高校访学</w:t>
            </w:r>
            <w:r>
              <w:rPr>
                <w:rFonts w:hint="eastAsia" w:ascii="Times New Roman" w:hAnsi="Times New Roman" w:eastAsia="仿宋" w:cs="Times New Roman"/>
                <w:sz w:val="28"/>
                <w:szCs w:val="28"/>
              </w:rPr>
              <w:t>或线上修读境外课程</w:t>
            </w:r>
            <w:r>
              <w:rPr>
                <w:rFonts w:ascii="Times New Roman" w:hAnsi="Times New Roman" w:eastAsia="仿宋" w:cs="Times New Roman"/>
                <w:sz w:val="28"/>
                <w:szCs w:val="28"/>
              </w:rPr>
              <w:t>的学生数占在校</w:t>
            </w:r>
            <w:r>
              <w:rPr>
                <w:rFonts w:hint="eastAsia" w:ascii="Times New Roman" w:hAnsi="Times New Roman" w:eastAsia="仿宋" w:cs="Times New Roman"/>
                <w:sz w:val="28"/>
                <w:szCs w:val="28"/>
              </w:rPr>
              <w:t>本科</w:t>
            </w:r>
            <w:r>
              <w:rPr>
                <w:rFonts w:ascii="Times New Roman" w:hAnsi="Times New Roman" w:eastAsia="仿宋" w:cs="Times New Roman"/>
                <w:sz w:val="28"/>
                <w:szCs w:val="28"/>
              </w:rPr>
              <w:t>生数的比例</w:t>
            </w:r>
          </w:p>
          <w:p>
            <w:pPr>
              <w:widowControl/>
              <w:adjustRightInd w:val="0"/>
              <w:snapToGrid w:val="0"/>
              <w:spacing w:line="400" w:lineRule="exact"/>
              <w:jc w:val="left"/>
              <w:rPr>
                <w:rFonts w:ascii="仿宋" w:hAnsi="仿宋" w:eastAsia="仿宋" w:cs="仿宋"/>
                <w:sz w:val="28"/>
                <w:szCs w:val="28"/>
              </w:rPr>
            </w:pPr>
            <w:r>
              <w:rPr>
                <w:rFonts w:ascii="Times New Roman" w:hAnsi="Times New Roman" w:eastAsia="仿宋" w:cs="Times New Roman"/>
                <w:sz w:val="28"/>
                <w:szCs w:val="28"/>
              </w:rPr>
              <w:t>【可选】</w:t>
            </w:r>
            <w:r>
              <w:rPr>
                <w:rFonts w:hint="eastAsia" w:ascii="Times New Roman" w:hAnsi="Times New Roman" w:eastAsia="仿宋" w:cs="Times New Roman"/>
                <w:sz w:val="28"/>
                <w:szCs w:val="28"/>
              </w:rPr>
              <w:t>在籍国际学生和港澳台学生占在校本科生数的比例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3.6就业与创新创业教育</w:t>
            </w: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3.6.1将创新创业教育贯穿于人才培养全过程、融入专业教育的举措及成效</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【可选】产学合作协同育人项目数</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【可选】本科生参加各级各类创新创业实践活动人数及比例</w:t>
            </w:r>
          </w:p>
          <w:p>
            <w:pPr>
              <w:widowControl/>
              <w:adjustRightInd w:val="0"/>
              <w:snapToGrid w:val="0"/>
              <w:spacing w:line="400" w:lineRule="exact"/>
              <w:jc w:val="left"/>
              <w:rPr>
                <w:rFonts w:ascii="仿宋" w:hAnsi="仿宋" w:eastAsia="仿宋" w:cs="仿宋"/>
                <w:sz w:val="28"/>
                <w:szCs w:val="28"/>
              </w:rPr>
            </w:pPr>
            <w:r>
              <w:rPr>
                <w:rFonts w:hint="eastAsia" w:ascii="仿宋" w:hAnsi="仿宋" w:eastAsia="仿宋" w:cs="仿宋"/>
                <w:sz w:val="28"/>
                <w:szCs w:val="28"/>
              </w:rPr>
              <w:t>【可选】省级及以上“互联网+”大学生创新创业大赛获奖数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3.6.2以高水平的科学研究提高学生创新创业能力的情况</w:t>
            </w:r>
          </w:p>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sz w:val="28"/>
                <w:szCs w:val="28"/>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p>
        </w:tc>
        <w:tc>
          <w:tcPr>
            <w:tcW w:w="65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3.6.3开展大学生职业生涯规划教育的举措及成效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教育教学综合改革</w:t>
            </w:r>
          </w:p>
        </w:tc>
        <w:tc>
          <w:tcPr>
            <w:tcW w:w="808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学校系统性、整体性、前瞻性、协同性的本科教育教学综合改革与创新实践，且在国际上具有一定代表性</w:t>
            </w:r>
          </w:p>
        </w:tc>
      </w:tr>
    </w:tbl>
    <w:p>
      <w:pPr>
        <w:spacing w:line="300" w:lineRule="exact"/>
        <w:rPr>
          <w:rFonts w:ascii="Times New Roman" w:hAnsi="Times New Roman" w:cs="Times New Roman"/>
          <w:b/>
          <w:sz w:val="24"/>
          <w:szCs w:val="24"/>
          <w:lang w:val="zh-TW" w:eastAsia="zh-TW"/>
        </w:rPr>
      </w:pPr>
    </w:p>
    <w:p>
      <w:pPr>
        <w:spacing w:line="400" w:lineRule="exact"/>
        <w:rPr>
          <w:rFonts w:ascii="仿宋" w:hAnsi="仿宋" w:eastAsia="仿宋" w:cs="仿宋"/>
          <w:b/>
          <w:kern w:val="0"/>
          <w:sz w:val="28"/>
          <w:szCs w:val="28"/>
        </w:rPr>
      </w:pPr>
      <w:r>
        <w:rPr>
          <w:rFonts w:hint="eastAsia" w:ascii="仿宋" w:hAnsi="仿宋" w:eastAsia="仿宋" w:cs="仿宋"/>
          <w:b/>
          <w:kern w:val="0"/>
          <w:sz w:val="28"/>
          <w:szCs w:val="28"/>
        </w:rPr>
        <w:t>备注：</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1.审核重点中定量指标的具体要求可参考国家相关标准。其中，【必选】是指该定量指标学校必须选择；【可选】是指该定量指标学校可结合办学实际和优势特色，从高等教育质量监测国家数据平台提供的教学基本状态常态监测数据中自主选择，进行等量或超量替换。</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2.表中定量指标计算原则上参照《中国教育监测与评价统计指标体系（2020年版）》（教发〔2020〕6号）。</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3.生师比=折合在校生数/专任教师总数（参照教育部教发〔2004〕2号文件），综合、师范、民族院校，工科、农、林院校和语文、财经、政法院校≤18:1；医学院校≤16:1；体育、艺术院校≤11:1。</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4.生均年教学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5.年新增教学科研仪器设备所占比例（参照教育部教发〔2004〕2号文件）：年新增教学科研仪器设备所占比例≥10%。凡教学仪器设备总值超过1亿元的高校，当年新增教学仪器设备值超过1000万元，该项指标即为合格。</w:t>
      </w:r>
    </w:p>
    <w:p>
      <w:pPr>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6.生均教学科研仪器设备值=普通高校教学与科研仪器设备总资产值/折合在校生数（参照教育部教发〔2004〕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kern w:val="0"/>
          <w:szCs w:val="21"/>
        </w:rPr>
      </w:pPr>
    </w:p>
    <w:p>
      <w:pPr>
        <w:spacing w:line="300" w:lineRule="exact"/>
        <w:ind w:firstLine="560" w:firstLineChars="200"/>
        <w:rPr>
          <w:rFonts w:ascii="Times New Roman" w:hAnsi="Times New Roman" w:cs="宋体"/>
          <w:kern w:val="0"/>
          <w:szCs w:val="21"/>
        </w:rPr>
      </w:pPr>
      <w:r>
        <w:rPr>
          <w:rFonts w:ascii="Times New Roman" w:hAnsi="Times New Roman" w:eastAsia="仿宋_GB2312"/>
          <w:sz w:val="28"/>
          <w:szCs w:val="28"/>
        </w:rPr>
        <w:br w:type="page"/>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二、第二类审核评估</w:t>
      </w:r>
    </w:p>
    <w:tbl>
      <w:tblPr>
        <w:tblStyle w:val="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410"/>
        <w:gridCol w:w="1132"/>
        <w:gridCol w:w="5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1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一级</w:t>
            </w:r>
          </w:p>
          <w:p>
            <w:pPr>
              <w:widowControl/>
              <w:adjustRightInd w:val="0"/>
              <w:snapToGrid w:val="0"/>
              <w:spacing w:line="40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指标</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二级</w:t>
            </w:r>
          </w:p>
          <w:p>
            <w:pPr>
              <w:widowControl/>
              <w:adjustRightInd w:val="0"/>
              <w:snapToGrid w:val="0"/>
              <w:spacing w:line="40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指标</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1.办学方向与本科地位</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1.1党的领导</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1.1.1学校坚持党的全面领导</w:t>
            </w:r>
            <w:r>
              <w:rPr>
                <w:rFonts w:hint="eastAsia" w:ascii="仿宋" w:hAnsi="仿宋" w:eastAsia="仿宋" w:cs="仿宋"/>
                <w:kern w:val="0"/>
                <w:sz w:val="28"/>
                <w:szCs w:val="28"/>
              </w:rPr>
              <w:t>，依法治教、依法办学、依法治校，围绕国家战略需求培养担当民族复兴大任的时代新人</w:t>
            </w:r>
            <w:r>
              <w:rPr>
                <w:rFonts w:hint="eastAsia" w:ascii="仿宋" w:hAnsi="仿宋" w:eastAsia="仿宋" w:cs="仿宋"/>
                <w:color w:val="000000"/>
                <w:kern w:val="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1.1.2学校坚持社会主义办学方向、贯彻落实立德树人根本任务</w:t>
            </w:r>
            <w:r>
              <w:rPr>
                <w:rFonts w:hint="eastAsia" w:ascii="仿宋" w:hAnsi="仿宋" w:eastAsia="仿宋" w:cs="仿宋"/>
                <w:kern w:val="0"/>
                <w:sz w:val="28"/>
                <w:szCs w:val="28"/>
              </w:rPr>
              <w:t>、</w:t>
            </w:r>
            <w:r>
              <w:rPr>
                <w:rFonts w:hint="eastAsia" w:ascii="仿宋" w:hAnsi="仿宋" w:eastAsia="仿宋" w:cs="仿宋"/>
                <w:kern w:val="0"/>
                <w:sz w:val="28"/>
                <w:szCs w:val="28"/>
                <w:lang w:val="zh-TW"/>
              </w:rPr>
              <w:t>把立德树人成效作为检验学校一切工作的根本标准情况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1.2思政教育</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1.2.1思想政治工作体系建设和“三全育人”工作格局建立情况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1.2.2加强思想政治理论课教师队伍和思政课程建设情况，</w:t>
            </w:r>
            <w:r>
              <w:rPr>
                <w:rFonts w:hint="eastAsia" w:ascii="仿宋" w:hAnsi="仿宋" w:eastAsia="仿宋" w:cs="仿宋"/>
                <w:kern w:val="0"/>
                <w:sz w:val="28"/>
                <w:szCs w:val="28"/>
              </w:rPr>
              <w:t>按要求开设“习近平总书记关于教育的重要论述研究”课程情况</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【必选】思政课专任教师与折合在校生比例≥1:350</w:t>
            </w:r>
          </w:p>
          <w:p>
            <w:pPr>
              <w:widowControl/>
              <w:adjustRightInd w:val="0"/>
              <w:snapToGrid w:val="0"/>
              <w:spacing w:line="400" w:lineRule="exact"/>
              <w:rPr>
                <w:rFonts w:ascii="仿宋" w:hAnsi="仿宋" w:eastAsia="仿宋" w:cs="仿宋"/>
                <w:sz w:val="28"/>
                <w:szCs w:val="28"/>
              </w:rPr>
            </w:pPr>
            <w:r>
              <w:rPr>
                <w:rFonts w:hint="eastAsia" w:ascii="仿宋" w:hAnsi="仿宋" w:eastAsia="仿宋" w:cs="仿宋"/>
                <w:sz w:val="28"/>
                <w:szCs w:val="28"/>
              </w:rPr>
              <w:t>【必选】专职党务工作人员和思想政治工作人员总数与全校师生人数比例≥1:100</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w:t>
            </w:r>
            <w:r>
              <w:rPr>
                <w:rFonts w:hint="eastAsia" w:ascii="仿宋" w:hAnsi="仿宋" w:eastAsia="仿宋" w:cs="仿宋"/>
                <w:sz w:val="28"/>
                <w:szCs w:val="28"/>
              </w:rPr>
              <w:t>生均思政工作和党务工作队伍建设专项经费≥20元</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sz w:val="28"/>
                <w:szCs w:val="28"/>
              </w:rPr>
              <w:t>【必选】生均网络思政工作专项经费≥40元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1.2.3“课程思政”建设与成效，课程思政示范课程、课程思政教学研究示范中心以及课程思政教学名师和团队的建设及选树情况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kern w:val="0"/>
                <w:sz w:val="28"/>
                <w:szCs w:val="28"/>
              </w:rPr>
              <w:t>1.2.4学校对教师、学生出现思想政治、道德品质等负面问题能否及时发现和妥当处置情况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b/>
                <w:bCs/>
                <w:color w:val="000000"/>
                <w:kern w:val="0"/>
                <w:sz w:val="28"/>
                <w:szCs w:val="28"/>
              </w:rPr>
            </w:pPr>
            <w:r>
              <w:rPr>
                <w:rFonts w:hint="eastAsia" w:ascii="仿宋" w:hAnsi="仿宋" w:eastAsia="仿宋" w:cs="仿宋"/>
                <w:color w:val="000000"/>
                <w:kern w:val="0"/>
                <w:sz w:val="28"/>
                <w:szCs w:val="28"/>
              </w:rPr>
              <w:t>1.3本科地位</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1.3.1“以本为本”落实情况，党委重视、校长主抓、院长落实的本科教育良好氛围形成情况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1.3.2“四个回归”的实现情况，推进学生刻苦读书学习、教师潜心教书育人、学校倾心培养社会主义建设者和接班人等方面的举措与成效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1.3.3教学经费、教学资源条件、教师精力投入等优先保障本科教学的机制建设情况</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w:t>
            </w:r>
            <w:r>
              <w:rPr>
                <w:rFonts w:hint="eastAsia" w:ascii="仿宋" w:hAnsi="仿宋" w:eastAsia="仿宋" w:cs="仿宋"/>
                <w:kern w:val="0"/>
                <w:sz w:val="28"/>
                <w:szCs w:val="28"/>
              </w:rPr>
              <w:t>生均年教学日常运行支出≥1200元（备注5）</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w:t>
            </w:r>
            <w:r>
              <w:rPr>
                <w:rFonts w:hint="eastAsia" w:ascii="仿宋" w:hAnsi="仿宋" w:eastAsia="仿宋" w:cs="仿宋"/>
                <w:kern w:val="0"/>
                <w:sz w:val="28"/>
                <w:szCs w:val="28"/>
              </w:rPr>
              <w:t>教学日常运行支出占经常性预算内教育事业费拨款（205类教育拨款扣除专项拨款）与学费收入之和的比例≥13%（教学日常运行支出统计要求见备注5）</w:t>
            </w:r>
          </w:p>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【必选】年新增教学科研仪器设备值所占比例（要求见备注6）</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【必选】生均教学科研仪器设备值（要求见备注7）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b/>
                <w:bCs/>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1.3.4学校各职能部门服务本科教育教学工作情况，本科教育教学工作在学校年度考核中的比重情况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2.培养过程</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2.1培养方案</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2.1.1培养目标符合学校定位、适应社会经济发展需要、体现学生德智体美劳全面发展情况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2.1.2培养方案符合国家专业类标准、体现产出导向理念情况</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【必选】学生毕业必须修满的公共艺术课程学分数≥2学分</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B2.1.3</w:t>
            </w: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B1培养方案强化理论基础、突出科教融合、注重培养学生创新能力情况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B2培养方案强化实践教学、突出实验实训内容的基础性和应用性、注重培养学生应用能力情况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FF0000"/>
                <w:kern w:val="0"/>
                <w:sz w:val="28"/>
                <w:szCs w:val="28"/>
              </w:rPr>
            </w:pPr>
            <w:r>
              <w:rPr>
                <w:rFonts w:hint="eastAsia" w:ascii="仿宋" w:hAnsi="仿宋" w:eastAsia="仿宋" w:cs="仿宋"/>
                <w:color w:val="000000"/>
                <w:kern w:val="0"/>
                <w:sz w:val="28"/>
                <w:szCs w:val="28"/>
              </w:rPr>
              <w:t>2.2专业建设</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B2.2.1</w:t>
            </w: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B1专业设置、专业建设与国家重大发展战略及社会对创新型人才需求的契合情况</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【必选】通过认证（评估）的专业占专业总数的比例</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【可选】近三年新增专业数</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spacing w:val="-2"/>
                <w:kern w:val="0"/>
                <w:sz w:val="28"/>
                <w:szCs w:val="28"/>
              </w:rPr>
            </w:pPr>
            <w:r>
              <w:rPr>
                <w:rFonts w:hint="eastAsia" w:ascii="仿宋" w:hAnsi="仿宋" w:eastAsia="仿宋" w:cs="仿宋"/>
                <w:color w:val="000000"/>
                <w:spacing w:val="-2"/>
                <w:kern w:val="0"/>
                <w:sz w:val="28"/>
                <w:szCs w:val="28"/>
              </w:rPr>
              <w:t>B2专业设置、专业建设与国家需要、区域经济社会发展及产业发展对应用型人才需求的契合情况</w:t>
            </w:r>
          </w:p>
          <w:p>
            <w:pPr>
              <w:widowControl/>
              <w:adjustRightInd w:val="0"/>
              <w:snapToGrid w:val="0"/>
              <w:spacing w:line="400" w:lineRule="exact"/>
              <w:rPr>
                <w:rFonts w:ascii="仿宋" w:hAnsi="仿宋" w:eastAsia="仿宋" w:cs="仿宋"/>
                <w:color w:val="000000"/>
                <w:spacing w:val="-2"/>
                <w:kern w:val="0"/>
                <w:sz w:val="28"/>
                <w:szCs w:val="28"/>
              </w:rPr>
            </w:pPr>
            <w:r>
              <w:rPr>
                <w:rFonts w:hint="eastAsia" w:ascii="仿宋" w:hAnsi="仿宋" w:eastAsia="仿宋" w:cs="仿宋"/>
                <w:color w:val="000000"/>
                <w:kern w:val="0"/>
                <w:sz w:val="28"/>
                <w:szCs w:val="28"/>
              </w:rPr>
              <w:t>【必选】通过认证（评估）的专业占专业总数的比例</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【可选】近三年新增专业数</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B2.2.2</w:t>
            </w: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B1围绕国家和区域经济发展需求，建立自主性、灵活性与规范性、稳定性相统一的专业设置管理体系情况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B2围绕产业链、创新链建立自主性、灵活性与规范性、稳定性相统一的专业设置管理体系情况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2.2.3学校通过主辅修、微专业和双学士学位培养等举措促进复合型人才培养情况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2.3实践教学</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rPr>
                <w:rFonts w:ascii="仿宋" w:hAnsi="仿宋" w:eastAsia="仿宋" w:cs="仿宋"/>
                <w:kern w:val="0"/>
                <w:sz w:val="28"/>
                <w:szCs w:val="28"/>
              </w:rPr>
            </w:pPr>
            <w:r>
              <w:rPr>
                <w:rFonts w:hint="eastAsia" w:ascii="仿宋" w:hAnsi="仿宋" w:eastAsia="仿宋" w:cs="仿宋"/>
                <w:color w:val="000000"/>
                <w:kern w:val="0"/>
                <w:sz w:val="28"/>
                <w:szCs w:val="28"/>
              </w:rPr>
              <w:t>2.3.1</w:t>
            </w:r>
            <w:r>
              <w:rPr>
                <w:rFonts w:hint="eastAsia" w:ascii="仿宋" w:hAnsi="仿宋" w:eastAsia="仿宋" w:cs="仿宋"/>
                <w:kern w:val="0"/>
                <w:sz w:val="28"/>
                <w:szCs w:val="28"/>
              </w:rPr>
              <w:t>强化实践育人、构建实践教学体系、推动实践教学改革情况</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【必选】实践教学学分占总学分（学时）比例（人文社科类专业≥15%，理工农医类专业≥25%）</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【必选】国家级、省级实践教学基地（包括实验教学示范中心、</w:t>
            </w:r>
            <w:r>
              <w:rPr>
                <w:rFonts w:hint="eastAsia" w:ascii="仿宋" w:hAnsi="仿宋" w:eastAsia="仿宋" w:cs="仿宋"/>
                <w:bCs/>
                <w:color w:val="000000"/>
                <w:kern w:val="0"/>
                <w:sz w:val="28"/>
                <w:szCs w:val="28"/>
              </w:rPr>
              <w:t>产业学院、应急管理学院、</w:t>
            </w:r>
            <w:r>
              <w:rPr>
                <w:rFonts w:hint="eastAsia" w:ascii="仿宋" w:hAnsi="仿宋" w:eastAsia="仿宋" w:cs="仿宋"/>
                <w:color w:val="000000"/>
                <w:kern w:val="0"/>
                <w:sz w:val="28"/>
                <w:szCs w:val="28"/>
              </w:rPr>
              <w:t>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B2.3.2</w:t>
            </w: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B1学校与科研院所、企业共建科研实践、实习实训基地情况</w:t>
            </w:r>
          </w:p>
          <w:p>
            <w:pPr>
              <w:widowControl/>
              <w:adjustRightInd w:val="0"/>
              <w:snapToGrid w:val="0"/>
              <w:spacing w:line="400" w:lineRule="exact"/>
              <w:rPr>
                <w:rFonts w:ascii="仿宋" w:hAnsi="仿宋" w:eastAsia="仿宋" w:cs="仿宋"/>
                <w:color w:val="FF0000"/>
                <w:kern w:val="0"/>
                <w:sz w:val="28"/>
                <w:szCs w:val="28"/>
                <w:lang w:eastAsia="zh-TW"/>
              </w:rPr>
            </w:pPr>
            <w:r>
              <w:rPr>
                <w:rFonts w:hint="eastAsia" w:ascii="仿宋" w:hAnsi="仿宋" w:eastAsia="仿宋" w:cs="仿宋"/>
                <w:kern w:val="0"/>
                <w:sz w:val="28"/>
                <w:szCs w:val="28"/>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B2学校与企业、行业单位共建实习实训基地情况</w:t>
            </w:r>
          </w:p>
          <w:p>
            <w:pPr>
              <w:widowControl/>
              <w:adjustRightInd w:val="0"/>
              <w:snapToGrid w:val="0"/>
              <w:spacing w:line="400" w:lineRule="exact"/>
              <w:rPr>
                <w:rFonts w:ascii="仿宋" w:hAnsi="仿宋" w:eastAsia="仿宋" w:cs="仿宋"/>
                <w:color w:val="FF0000"/>
                <w:kern w:val="0"/>
                <w:sz w:val="28"/>
                <w:szCs w:val="28"/>
              </w:rPr>
            </w:pPr>
            <w:r>
              <w:rPr>
                <w:rFonts w:hint="eastAsia" w:ascii="仿宋" w:hAnsi="仿宋" w:eastAsia="仿宋" w:cs="仿宋"/>
                <w:kern w:val="0"/>
                <w:sz w:val="28"/>
                <w:szCs w:val="28"/>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B2.3.3</w:t>
            </w: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B1毕业论文（设计）选题来自教师专业实践、科研课题情况及完成质量</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【必选】以实验、实习、工程实践和社会调查等实践性工作为基础的毕业论文（</w:t>
            </w:r>
            <w:r>
              <w:rPr>
                <w:rFonts w:hint="eastAsia" w:ascii="仿宋" w:hAnsi="仿宋" w:eastAsia="仿宋" w:cs="仿宋"/>
                <w:sz w:val="28"/>
                <w:szCs w:val="28"/>
              </w:rPr>
              <w:t>设计</w:t>
            </w:r>
            <w:r>
              <w:rPr>
                <w:rFonts w:hint="eastAsia" w:ascii="仿宋" w:hAnsi="仿宋" w:eastAsia="仿宋" w:cs="仿宋"/>
                <w:color w:val="000000"/>
                <w:kern w:val="0"/>
                <w:sz w:val="28"/>
                <w:szCs w:val="28"/>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B2毕业论文（设计）选题来自行业企业一线需要、实行校企“双导师”制情况及完成质量</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【必选】以实验、实习、工程实践和社会调查等实践性工作为基础的毕业论文（</w:t>
            </w:r>
            <w:r>
              <w:rPr>
                <w:rFonts w:hint="eastAsia" w:ascii="仿宋" w:hAnsi="仿宋" w:eastAsia="仿宋" w:cs="仿宋"/>
                <w:sz w:val="28"/>
                <w:szCs w:val="28"/>
              </w:rPr>
              <w:t>设计</w:t>
            </w:r>
            <w:r>
              <w:rPr>
                <w:rFonts w:hint="eastAsia" w:ascii="仿宋" w:hAnsi="仿宋" w:eastAsia="仿宋" w:cs="仿宋"/>
                <w:color w:val="000000"/>
                <w:kern w:val="0"/>
                <w:sz w:val="28"/>
                <w:szCs w:val="28"/>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2.4课堂教学</w:t>
            </w: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2.4.1实施“以学为中心、以教为主导”的课堂教学，开展以学生学习成果为导向的教学评价情况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2.4.2推进信息技术与教学过程融合、加强信息化教学环境与资源建设情况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2.4.3建立健全教材管理机构和工作制度情况，依照教材审核选用标准和程序选用教材情况；推进马工程重点教材统一使用情况；</w:t>
            </w:r>
            <w:r>
              <w:rPr>
                <w:rFonts w:hint="eastAsia" w:ascii="仿宋" w:hAnsi="仿宋" w:eastAsia="仿宋" w:cs="仿宋"/>
                <w:kern w:val="0"/>
                <w:sz w:val="28"/>
                <w:szCs w:val="28"/>
              </w:rPr>
              <w:t>对教材选用工作出现负面问题的处理情况</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【必选】使用马工程重点教材课程数量与学校应使用马工程重点教材课程数量的比例</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kern w:val="0"/>
                <w:sz w:val="28"/>
                <w:szCs w:val="28"/>
              </w:rPr>
              <w:t>【可选】</w:t>
            </w:r>
            <w:r>
              <w:rPr>
                <w:rFonts w:hint="eastAsia" w:ascii="仿宋" w:hAnsi="仿宋" w:eastAsia="仿宋" w:cs="仿宋"/>
                <w:color w:val="000000"/>
                <w:kern w:val="0"/>
                <w:sz w:val="28"/>
                <w:szCs w:val="28"/>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K2.5卓越</w:t>
            </w:r>
          </w:p>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培养</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K2.5.1</w:t>
            </w: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K1科教协同拔尖人才培养模式改革及其实践效果</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left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K2产教融合卓越人才培养模式改革及其实践效果</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left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K2.5.2加强课程体系整体设计，优化公共课、专业基础课和专业课比例结构，提高课程建设规划性、系统性情况</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【必选】本科生生均课程门数</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left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K2.5.3新工科、新农科、新医科、新文科建设以及围绕“培育高水平教学成果”开展教研教改项目建设的举措及实施成效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left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K2.5.4一流专业“双万计划”建设举措及成效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left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K2.5.5一流课程“双万计划”建设举措及成效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left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K2.5.6优秀教材建设举措及成效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2.6创新创业教育</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2.6.1创新创业教育工作体系与创新创业教育平台建设情况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2.6.2将创新创业教育贯穿于人才培养全过程、融入专业教育的举措与成效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2.6.3学生参与创新创业教育积极性及创新创业教育成果</w:t>
            </w:r>
          </w:p>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【必选】本科生参加各级各类创新创业实践活动人数及比例</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w:t>
            </w:r>
            <w:r>
              <w:rPr>
                <w:rFonts w:hint="eastAsia" w:ascii="仿宋" w:hAnsi="仿宋" w:eastAsia="仿宋" w:cs="仿宋"/>
                <w:bCs/>
                <w:kern w:val="0"/>
                <w:sz w:val="28"/>
                <w:szCs w:val="28"/>
              </w:rPr>
              <w:t>省级及以上</w:t>
            </w:r>
            <w:r>
              <w:rPr>
                <w:rFonts w:hint="eastAsia" w:ascii="仿宋" w:hAnsi="仿宋" w:eastAsia="仿宋" w:cs="仿宋"/>
                <w:kern w:val="0"/>
                <w:sz w:val="28"/>
                <w:szCs w:val="28"/>
              </w:rPr>
              <w:t>“互联网+”大学生创新创业大赛获奖数</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【可选】省级</w:t>
            </w:r>
            <w:r>
              <w:rPr>
                <w:rFonts w:hint="eastAsia" w:ascii="仿宋" w:hAnsi="仿宋" w:eastAsia="仿宋" w:cs="仿宋"/>
                <w:bCs/>
                <w:kern w:val="0"/>
                <w:sz w:val="28"/>
                <w:szCs w:val="28"/>
              </w:rPr>
              <w:t>及</w:t>
            </w:r>
            <w:r>
              <w:rPr>
                <w:rFonts w:hint="eastAsia" w:ascii="仿宋" w:hAnsi="仿宋" w:eastAsia="仿宋" w:cs="仿宋"/>
                <w:kern w:val="0"/>
                <w:sz w:val="28"/>
                <w:szCs w:val="28"/>
              </w:rPr>
              <w:t>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3.教学资源与利用</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X3.1设施</w:t>
            </w:r>
          </w:p>
          <w:p>
            <w:pPr>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条件</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X</w:t>
            </w:r>
            <w:r>
              <w:rPr>
                <w:rFonts w:hint="eastAsia" w:ascii="仿宋" w:hAnsi="仿宋" w:eastAsia="仿宋" w:cs="仿宋"/>
                <w:sz w:val="28"/>
                <w:szCs w:val="28"/>
              </w:rPr>
              <w:t>3.1.1</w:t>
            </w:r>
            <w:r>
              <w:rPr>
                <w:rFonts w:hint="eastAsia" w:ascii="仿宋" w:hAnsi="仿宋" w:eastAsia="仿宋" w:cs="仿宋"/>
                <w:color w:val="000000"/>
                <w:kern w:val="0"/>
                <w:sz w:val="28"/>
                <w:szCs w:val="28"/>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X</w:t>
            </w:r>
            <w:r>
              <w:rPr>
                <w:rFonts w:hint="eastAsia" w:ascii="仿宋" w:hAnsi="仿宋" w:eastAsia="仿宋" w:cs="仿宋"/>
                <w:sz w:val="28"/>
                <w:szCs w:val="28"/>
              </w:rPr>
              <w:t>3.1.2</w:t>
            </w:r>
            <w:r>
              <w:rPr>
                <w:rFonts w:hint="eastAsia" w:ascii="仿宋" w:hAnsi="仿宋" w:eastAsia="仿宋" w:cs="仿宋"/>
                <w:color w:val="000000"/>
                <w:kern w:val="0"/>
                <w:sz w:val="28"/>
                <w:szCs w:val="28"/>
              </w:rPr>
              <w:t>校舍、运动场所、体育设施、艺术场馆、实验室、实习基地及其设施条件满足教学要求情况及利用率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FF0000"/>
                <w:kern w:val="0"/>
                <w:sz w:val="28"/>
                <w:szCs w:val="28"/>
              </w:rPr>
            </w:pPr>
            <w:r>
              <w:rPr>
                <w:rFonts w:hint="eastAsia" w:ascii="仿宋" w:hAnsi="仿宋" w:eastAsia="仿宋" w:cs="仿宋"/>
                <w:color w:val="000000"/>
                <w:kern w:val="0"/>
                <w:sz w:val="28"/>
                <w:szCs w:val="28"/>
              </w:rPr>
              <w:t>3.2资源建设</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B3.2.1</w:t>
            </w: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B1优质教学资源建设及其共享情况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kern w:val="0"/>
                <w:sz w:val="28"/>
                <w:szCs w:val="28"/>
              </w:rPr>
              <w:t>B2行业企业课程资源库、真实项目案例库建设及共享情况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B3.2.2</w:t>
            </w:r>
          </w:p>
        </w:tc>
        <w:tc>
          <w:tcPr>
            <w:tcW w:w="5502" w:type="dxa"/>
            <w:tcBorders>
              <w:top w:val="single" w:color="auto" w:sz="4" w:space="0"/>
              <w:left w:val="single" w:color="auto" w:sz="4" w:space="0"/>
              <w:bottom w:val="single" w:color="auto" w:sz="4" w:space="0"/>
              <w:right w:val="single" w:color="auto" w:sz="4" w:space="0"/>
            </w:tcBorders>
          </w:tcPr>
          <w:p>
            <w:pPr>
              <w:tabs>
                <w:tab w:val="left" w:pos="2257"/>
              </w:tabs>
              <w:adjustRightInd w:val="0"/>
              <w:snapToGrid w:val="0"/>
              <w:spacing w:line="400" w:lineRule="exact"/>
              <w:rPr>
                <w:rFonts w:ascii="仿宋" w:hAnsi="仿宋" w:eastAsia="仿宋" w:cs="仿宋"/>
                <w:kern w:val="0"/>
                <w:sz w:val="28"/>
                <w:szCs w:val="28"/>
              </w:rPr>
            </w:pPr>
            <w:r>
              <w:rPr>
                <w:rFonts w:hint="eastAsia" w:ascii="仿宋" w:hAnsi="仿宋" w:eastAsia="仿宋" w:cs="仿宋"/>
                <w:color w:val="000000"/>
                <w:kern w:val="0"/>
                <w:sz w:val="28"/>
                <w:szCs w:val="28"/>
              </w:rPr>
              <w:t>B1</w:t>
            </w:r>
            <w:r>
              <w:rPr>
                <w:rFonts w:hint="eastAsia" w:ascii="仿宋" w:hAnsi="仿宋" w:eastAsia="仿宋" w:cs="仿宋"/>
                <w:kern w:val="0"/>
                <w:sz w:val="28"/>
                <w:szCs w:val="28"/>
              </w:rPr>
              <w:t>面向国家、行业领域需求的</w:t>
            </w:r>
            <w:r>
              <w:rPr>
                <w:rFonts w:hint="eastAsia" w:ascii="仿宋" w:hAnsi="仿宋" w:eastAsia="仿宋" w:cs="仿宋"/>
                <w:bCs/>
                <w:kern w:val="0"/>
                <w:sz w:val="28"/>
                <w:szCs w:val="28"/>
              </w:rPr>
              <w:t>一流</w:t>
            </w:r>
            <w:r>
              <w:rPr>
                <w:rFonts w:hint="eastAsia" w:ascii="仿宋" w:hAnsi="仿宋" w:eastAsia="仿宋" w:cs="仿宋"/>
                <w:kern w:val="0"/>
                <w:sz w:val="28"/>
                <w:szCs w:val="28"/>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B2面向行业企业实际、产业发展需要的</w:t>
            </w:r>
            <w:r>
              <w:rPr>
                <w:rFonts w:hint="eastAsia" w:ascii="仿宋" w:hAnsi="仿宋" w:eastAsia="仿宋" w:cs="仿宋"/>
                <w:bCs/>
                <w:kern w:val="0"/>
                <w:sz w:val="28"/>
                <w:szCs w:val="28"/>
              </w:rPr>
              <w:t>高质量</w:t>
            </w:r>
            <w:r>
              <w:rPr>
                <w:rFonts w:hint="eastAsia" w:ascii="仿宋" w:hAnsi="仿宋" w:eastAsia="仿宋" w:cs="仿宋"/>
                <w:kern w:val="0"/>
                <w:sz w:val="28"/>
                <w:szCs w:val="28"/>
              </w:rPr>
              <w:t>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K3.2.3</w:t>
            </w: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color w:val="000000"/>
                <w:kern w:val="0"/>
                <w:sz w:val="28"/>
                <w:szCs w:val="28"/>
              </w:rPr>
              <w:t>适应“互联网+”课程教学需要的智慧教室、智能实验室等教学设施和条件建设及使用效果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tabs>
                <w:tab w:val="left" w:pos="2257"/>
              </w:tabs>
              <w:adjustRightInd w:val="0"/>
              <w:snapToGrid w:val="0"/>
              <w:spacing w:line="4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K3.2.4</w:t>
            </w: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b/>
                <w:bCs/>
                <w:color w:val="FF0000"/>
                <w:kern w:val="0"/>
                <w:sz w:val="28"/>
                <w:szCs w:val="28"/>
              </w:rPr>
            </w:pPr>
            <w:r>
              <w:rPr>
                <w:rFonts w:hint="eastAsia" w:ascii="仿宋" w:hAnsi="仿宋" w:eastAsia="仿宋" w:cs="仿宋"/>
                <w:color w:val="000000"/>
                <w:kern w:val="0"/>
                <w:sz w:val="28"/>
                <w:szCs w:val="28"/>
              </w:rPr>
              <w:t>K1学科资源、科研成果转化为教学资源情况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color w:val="000000"/>
                <w:kern w:val="0"/>
                <w:sz w:val="28"/>
                <w:szCs w:val="28"/>
              </w:rPr>
            </w:pPr>
            <w:r>
              <w:rPr>
                <w:rFonts w:hint="eastAsia" w:ascii="仿宋" w:hAnsi="仿宋" w:eastAsia="仿宋" w:cs="仿宋"/>
                <w:kern w:val="0"/>
                <w:sz w:val="28"/>
                <w:szCs w:val="28"/>
              </w:rPr>
              <w:t>K2产业技术发展成果、产学研合作项目转化为教学资源情况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9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4.教师队伍</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4.1师德师风</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4.1.1</w:t>
            </w:r>
            <w:r>
              <w:rPr>
                <w:rFonts w:hint="eastAsia" w:ascii="仿宋" w:hAnsi="仿宋" w:eastAsia="仿宋" w:cs="仿宋"/>
                <w:color w:val="000000"/>
                <w:kern w:val="0"/>
                <w:sz w:val="28"/>
                <w:szCs w:val="28"/>
              </w:rPr>
              <w:t>保障把教师思想政治建设放在首位、把师德师风作为评价教师的第一标准，强化师德教育、加强师德宣传、严格考核管理、加强制度建设，</w:t>
            </w:r>
            <w:r>
              <w:rPr>
                <w:rFonts w:hint="eastAsia" w:ascii="仿宋" w:hAnsi="仿宋" w:eastAsia="仿宋" w:cs="仿宋"/>
                <w:kern w:val="0"/>
                <w:sz w:val="28"/>
                <w:szCs w:val="28"/>
              </w:rPr>
              <w:t>落实师德考核贯穿于教育教学全过程等方面</w:t>
            </w:r>
            <w:r>
              <w:rPr>
                <w:rFonts w:hint="eastAsia" w:ascii="仿宋" w:hAnsi="仿宋" w:eastAsia="仿宋" w:cs="仿宋"/>
                <w:color w:val="000000"/>
                <w:kern w:val="0"/>
                <w:sz w:val="28"/>
                <w:szCs w:val="28"/>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4.1.2</w:t>
            </w:r>
            <w:r>
              <w:rPr>
                <w:rFonts w:hint="eastAsia" w:ascii="仿宋" w:hAnsi="仿宋" w:eastAsia="仿宋" w:cs="仿宋"/>
                <w:color w:val="000000"/>
                <w:kern w:val="0"/>
                <w:sz w:val="28"/>
                <w:szCs w:val="28"/>
              </w:rPr>
              <w:t>教师在争做“四有”好老师、四个“引路人”，自觉遵守《新时代高校教师职业行为十项准则》等方面的情况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4.2教学能力</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B4.2.1</w:t>
            </w:r>
          </w:p>
        </w:tc>
        <w:tc>
          <w:tcPr>
            <w:tcW w:w="550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B1专任教师的专业水平、教学能力、科研水平和能力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B2专任教师的专业水平、教学能力、产学研用能力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4.2.2提升教师教书育人能力和水平的措施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4.3教学投入</w:t>
            </w: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4.3.1教师投入教学、教授全员为本科生授课的激励与约束机制建立情况及实施效果</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【必选】主讲本科课程教授占教授总数的比例</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4.3.2教师特别是教授和副教授开展教学研究、参与教学改革与建设情况及成效</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4.4教师发展</w:t>
            </w: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4.4.1重视教师培训与职业发展，把习近平总书记关于教育的重要论述作为核心培训课程，把《习近平总书记教育重要论述讲义》作为核心培训教材，加强思政与党务工作队伍建设的举措与成效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4.4.2加强教师教学发展中心、基层教学组织和青年教师队伍建设举措与成效</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color w:val="000000"/>
                <w:kern w:val="0"/>
                <w:sz w:val="28"/>
                <w:szCs w:val="28"/>
              </w:rPr>
              <w:t>【必选】设有基层教学组织的专业占专业总数的比例</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B4.4.3</w:t>
            </w:r>
          </w:p>
        </w:tc>
        <w:tc>
          <w:tcPr>
            <w:tcW w:w="550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B1提升教师教学能力、实践能力、科研能力、信息技术应用能力的政策措施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B2提升教师教学能力、产学研用能力、信息技术应用能力，鼓励教师到业界实践、挂职和承担横向课题的政策措施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B4.4.4</w:t>
            </w:r>
          </w:p>
        </w:tc>
        <w:tc>
          <w:tcPr>
            <w:tcW w:w="5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B1教师队伍分类管理与建设情况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550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B2双师双能型教师队伍和实践教学教师队伍管理与建设情况</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K4.4.5教师赴国（境）外交流、访学、参加国际会议、合作研究等情况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5.学生发展</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FF0000"/>
                <w:kern w:val="0"/>
                <w:sz w:val="28"/>
                <w:szCs w:val="28"/>
              </w:rPr>
            </w:pPr>
            <w:r>
              <w:rPr>
                <w:rFonts w:hint="eastAsia" w:ascii="仿宋" w:hAnsi="仿宋" w:eastAsia="仿宋" w:cs="仿宋"/>
                <w:kern w:val="0"/>
                <w:sz w:val="28"/>
                <w:szCs w:val="28"/>
              </w:rPr>
              <w:t>5.1理想信念</w:t>
            </w: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5.1.1学生理想信念和品德修养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5.1.2加强学风建设，教育引导学生爱国、励志、求真、力行情况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5.2学业成绩及综合素质</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B5.2.1</w:t>
            </w: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B1学生基础理论、知识面和创新能力</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55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B2学生综合应用知识能力和独立解决生产、管理和服务中实际问题能力</w:t>
            </w:r>
          </w:p>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【可选】在学期间获得国家认可的职业资格证书学生数占在校生数的比例</w:t>
            </w:r>
          </w:p>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5.2.2开展通识教育、体育、美育、劳动教育的措施与成效</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5.2.3社团活动、校园文化、社会实践、志愿服务等活动开展情况及育人效果</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【可选】省级及以上艺术展演、体育竞赛参赛获奖学生人次数占学生总数的比例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K5.3国际</w:t>
            </w:r>
          </w:p>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color w:val="000000"/>
                <w:kern w:val="0"/>
                <w:sz w:val="28"/>
                <w:szCs w:val="28"/>
              </w:rPr>
              <w:t>视野</w:t>
            </w:r>
          </w:p>
        </w:tc>
        <w:tc>
          <w:tcPr>
            <w:tcW w:w="6634" w:type="dxa"/>
            <w:gridSpan w:val="2"/>
            <w:tcBorders>
              <w:top w:val="single" w:color="auto" w:sz="4" w:space="0"/>
              <w:left w:val="single" w:color="auto" w:sz="4" w:space="0"/>
              <w:right w:val="single" w:color="auto" w:sz="4" w:space="0"/>
            </w:tcBorders>
            <w:vAlign w:val="center"/>
          </w:tcPr>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K5.3.1与国（境）外大学合作办学、合作育人以及与本科教育相关的国际交流活动和来华留学生教育开展情况</w:t>
            </w:r>
          </w:p>
          <w:p>
            <w:pPr>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【可选】江苏省教育对外开放质量提升工程立项项目数</w:t>
            </w:r>
          </w:p>
          <w:p>
            <w:pPr>
              <w:adjustRightInd w:val="0"/>
              <w:snapToGrid w:val="0"/>
              <w:spacing w:line="440" w:lineRule="exact"/>
              <w:rPr>
                <w:rFonts w:ascii="仿宋" w:hAnsi="仿宋" w:eastAsia="仿宋" w:cs="仿宋"/>
                <w:kern w:val="0"/>
                <w:sz w:val="28"/>
                <w:szCs w:val="28"/>
              </w:rPr>
            </w:pPr>
            <w:r>
              <w:rPr>
                <w:rFonts w:hint="eastAsia" w:ascii="仿宋" w:hAnsi="仿宋" w:eastAsia="仿宋" w:cs="仿宋"/>
                <w:kern w:val="0"/>
                <w:sz w:val="28"/>
                <w:szCs w:val="28"/>
              </w:rPr>
              <w:t>【可选】与国(境)外大学合作办学、学分互认、学位互授项目学生数</w:t>
            </w:r>
            <w:r>
              <w:rPr>
                <w:rFonts w:ascii="仿宋" w:hAnsi="仿宋" w:eastAsia="仿宋" w:cs="仿宋"/>
                <w:kern w:val="0"/>
                <w:sz w:val="28"/>
                <w:szCs w:val="28"/>
              </w:rPr>
              <w:t>占在校</w:t>
            </w:r>
            <w:r>
              <w:rPr>
                <w:rFonts w:hint="eastAsia" w:ascii="仿宋" w:hAnsi="仿宋" w:eastAsia="仿宋" w:cs="仿宋"/>
                <w:kern w:val="0"/>
                <w:sz w:val="28"/>
                <w:szCs w:val="28"/>
              </w:rPr>
              <w:t>本科</w:t>
            </w:r>
            <w:r>
              <w:rPr>
                <w:rFonts w:ascii="仿宋" w:hAnsi="仿宋" w:eastAsia="仿宋" w:cs="仿宋"/>
                <w:kern w:val="0"/>
                <w:sz w:val="28"/>
                <w:szCs w:val="28"/>
              </w:rPr>
              <w:t>生数的比例</w:t>
            </w:r>
          </w:p>
          <w:p>
            <w:pPr>
              <w:adjustRightInd w:val="0"/>
              <w:snapToGrid w:val="0"/>
              <w:spacing w:line="440" w:lineRule="exact"/>
              <w:rPr>
                <w:rFonts w:ascii="仿宋" w:hAnsi="仿宋" w:eastAsia="仿宋" w:cs="仿宋"/>
                <w:kern w:val="0"/>
                <w:sz w:val="28"/>
                <w:szCs w:val="28"/>
              </w:rPr>
            </w:pPr>
            <w:r>
              <w:rPr>
                <w:rFonts w:ascii="仿宋" w:hAnsi="仿宋" w:eastAsia="仿宋" w:cs="仿宋"/>
                <w:kern w:val="0"/>
                <w:sz w:val="28"/>
                <w:szCs w:val="28"/>
              </w:rPr>
              <w:t>【可选】</w:t>
            </w:r>
            <w:r>
              <w:rPr>
                <w:rFonts w:hint="eastAsia" w:ascii="仿宋" w:hAnsi="仿宋" w:eastAsia="仿宋" w:cs="仿宋"/>
                <w:kern w:val="0"/>
                <w:sz w:val="28"/>
                <w:szCs w:val="28"/>
              </w:rPr>
              <w:t>在籍国际学生和港澳台学生占在校本科生数的比例</w:t>
            </w:r>
          </w:p>
          <w:p>
            <w:pPr>
              <w:adjustRightInd w:val="0"/>
              <w:snapToGrid w:val="0"/>
              <w:spacing w:line="400" w:lineRule="exact"/>
              <w:rPr>
                <w:rFonts w:ascii="仿宋" w:hAnsi="仿宋" w:eastAsia="仿宋" w:cs="仿宋"/>
                <w:kern w:val="0"/>
                <w:sz w:val="28"/>
                <w:szCs w:val="28"/>
              </w:rPr>
            </w:pPr>
            <w:r>
              <w:rPr>
                <w:rFonts w:ascii="仿宋" w:hAnsi="仿宋" w:eastAsia="仿宋" w:cs="仿宋"/>
                <w:kern w:val="0"/>
                <w:sz w:val="28"/>
                <w:szCs w:val="28"/>
              </w:rPr>
              <w:t>【可选】在学期间赴国（境）外</w:t>
            </w:r>
            <w:r>
              <w:rPr>
                <w:rFonts w:hint="eastAsia" w:ascii="仿宋" w:hAnsi="仿宋" w:eastAsia="仿宋" w:cs="仿宋"/>
                <w:kern w:val="0"/>
                <w:sz w:val="28"/>
                <w:szCs w:val="28"/>
              </w:rPr>
              <w:t>或线上</w:t>
            </w:r>
            <w:r>
              <w:rPr>
                <w:rFonts w:ascii="仿宋" w:hAnsi="仿宋" w:eastAsia="仿宋" w:cs="仿宋"/>
                <w:kern w:val="0"/>
                <w:sz w:val="28"/>
                <w:szCs w:val="28"/>
              </w:rPr>
              <w:t>交流、访学、实习</w:t>
            </w:r>
            <w:r>
              <w:rPr>
                <w:rFonts w:hint="eastAsia" w:ascii="仿宋" w:hAnsi="仿宋" w:eastAsia="仿宋" w:cs="仿宋"/>
                <w:kern w:val="0"/>
                <w:sz w:val="28"/>
                <w:szCs w:val="28"/>
              </w:rPr>
              <w:t>、参加国际会议、开展合作研究</w:t>
            </w:r>
            <w:r>
              <w:rPr>
                <w:rFonts w:ascii="仿宋" w:hAnsi="仿宋" w:eastAsia="仿宋" w:cs="仿宋"/>
                <w:kern w:val="0"/>
                <w:sz w:val="28"/>
                <w:szCs w:val="28"/>
              </w:rPr>
              <w:t>的学生数占在校</w:t>
            </w:r>
            <w:r>
              <w:rPr>
                <w:rFonts w:hint="eastAsia" w:ascii="仿宋" w:hAnsi="仿宋" w:eastAsia="仿宋" w:cs="仿宋"/>
                <w:kern w:val="0"/>
                <w:sz w:val="28"/>
                <w:szCs w:val="28"/>
              </w:rPr>
              <w:t>本科生</w:t>
            </w:r>
            <w:r>
              <w:rPr>
                <w:rFonts w:ascii="仿宋" w:hAnsi="仿宋" w:eastAsia="仿宋" w:cs="仿宋"/>
                <w:kern w:val="0"/>
                <w:sz w:val="28"/>
                <w:szCs w:val="28"/>
              </w:rPr>
              <w:t>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kern w:val="0"/>
                <w:sz w:val="28"/>
                <w:szCs w:val="28"/>
              </w:rPr>
            </w:pPr>
            <w:r>
              <w:rPr>
                <w:rFonts w:hint="eastAsia" w:ascii="仿宋" w:hAnsi="仿宋" w:eastAsia="仿宋" w:cs="仿宋"/>
                <w:kern w:val="0"/>
                <w:sz w:val="28"/>
                <w:szCs w:val="28"/>
              </w:rPr>
              <w:t>5.4支持服务</w:t>
            </w: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5.4.1领导干部和教师参与学生工作的情况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5.4.2学校开展学生指导服务工作（学业、职业生涯规划、就业、家庭经济困难学生资助、心理健康咨询等）情况，学业导师、心理辅导教师、校医等配备及师生交流活动专门场所建设情况</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【必选】专职辅导员岗位与在校生比例≥1:200</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【必选】专职从事心理健康教育教师与在校生比例≥1:3000且至少2名</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5.4.3与学分制改革和弹性学习相适应的管理制度、辅修专业制度、双学士学位制度建设情况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K5.4.4探索学生成长增值评价，重视学生学习体验、自我发展能力和职业发展能力的具体措施及实施成效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6.质量保障</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6.1质量管理</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6.1.1学校质量标准、质量管理制度、质量保障机构及队伍建设情况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6.1.2加强考试管理、严肃考试纪律、完善过程性考核与结果性考核有机结合的学业考评制度、严把考试和毕业出口关的情况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6.2质量改进</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color w:val="000000"/>
                <w:spacing w:val="-2"/>
                <w:kern w:val="0"/>
                <w:sz w:val="28"/>
                <w:szCs w:val="28"/>
              </w:rPr>
            </w:pPr>
            <w:r>
              <w:rPr>
                <w:rFonts w:hint="eastAsia" w:ascii="仿宋" w:hAnsi="仿宋" w:eastAsia="仿宋" w:cs="仿宋"/>
                <w:kern w:val="0"/>
                <w:sz w:val="28"/>
                <w:szCs w:val="28"/>
              </w:rPr>
              <w:t>6.2.1学校内部质量评估制度的建立及接受外部评估（含院校评估、专业认证等）情况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6.2.2质量持续改进机制建设与改进效果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FF0000"/>
                <w:kern w:val="0"/>
                <w:sz w:val="28"/>
                <w:szCs w:val="28"/>
              </w:rPr>
            </w:pPr>
            <w:r>
              <w:rPr>
                <w:rFonts w:hint="eastAsia" w:ascii="仿宋" w:hAnsi="仿宋" w:eastAsia="仿宋" w:cs="仿宋"/>
                <w:color w:val="000000"/>
                <w:kern w:val="0"/>
                <w:sz w:val="28"/>
                <w:szCs w:val="28"/>
              </w:rPr>
              <w:t>6.3质量文化</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6.3.1自觉、自省、自律、自查、自纠的质量文化建设情况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FF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6.3.2质量信息公开制度及年度质量报告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9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7.教学成效</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7.1达成度</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7.1.1学校各专业人才培养目标的达成情况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7.1.2毕业生质量持续跟踪评价机制建立情况及跟踪评价结果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7.2适应度</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7.2.1学校本科生源状况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r>
              <w:rPr>
                <w:rFonts w:hint="eastAsia" w:ascii="仿宋" w:hAnsi="仿宋" w:eastAsia="仿宋" w:cs="仿宋"/>
                <w:kern w:val="0"/>
                <w:sz w:val="28"/>
                <w:szCs w:val="28"/>
              </w:rPr>
              <w:t>B7.2.2</w:t>
            </w: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B1毕业生面向国家和经济社会发展需要就业情况、就业质量和职业发展情况</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【可选】升学率（含国内与国外）</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【可选】应届本科生毕业当年9月1日初次就业率及结构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kern w:val="0"/>
                <w:sz w:val="28"/>
                <w:szCs w:val="28"/>
              </w:rPr>
            </w:pPr>
          </w:p>
        </w:tc>
        <w:tc>
          <w:tcPr>
            <w:tcW w:w="550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B2毕业生面向学校所服务的区域和行业企业就业情况、就业质量及职业发展情况</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【可选】升学率（含国内与国外）</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【可选】应届本科生毕业当年9月1日初次就业率及结构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7.3保障度</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7.3.1教学经费以及教室、实验室、图书馆、体育场馆、艺术场馆等资源条件满足教学需要情况</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【必选】生均本科实验经费（元）</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7.3.2教师的数量、结构、教学水平、产学研用能力、国际视野、教学投入等满足人才培养需要情况</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【必选】生师比</w:t>
            </w:r>
            <w:r>
              <w:rPr>
                <w:rFonts w:hint="eastAsia" w:ascii="仿宋" w:hAnsi="仿宋" w:eastAsia="仿宋" w:cs="仿宋"/>
                <w:sz w:val="28"/>
                <w:szCs w:val="28"/>
              </w:rPr>
              <w:t>（要求见备注8）</w:t>
            </w:r>
          </w:p>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7.4有效度</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7.4.1学校人才培养各环节有序运行情况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7.4.2学校人才培养工作持续改进、持续提升情况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7.4.3近五年专业领域的优秀毕业生十个典型案例及培养经验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7.5满意度</w:t>
            </w: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7.5.1学生（毕业生与在校生）对学习与成长的满意度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7.5.2教师对学校教育教学工作的满意度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1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14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 w:hAnsi="仿宋" w:eastAsia="仿宋" w:cs="仿宋"/>
                <w:color w:val="000000"/>
                <w:kern w:val="0"/>
                <w:sz w:val="28"/>
                <w:szCs w:val="28"/>
              </w:rPr>
            </w:pPr>
          </w:p>
        </w:tc>
        <w:tc>
          <w:tcPr>
            <w:tcW w:w="663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仿宋" w:hAnsi="仿宋" w:eastAsia="仿宋" w:cs="仿宋"/>
                <w:kern w:val="0"/>
                <w:sz w:val="28"/>
                <w:szCs w:val="28"/>
              </w:rPr>
            </w:pPr>
            <w:r>
              <w:rPr>
                <w:rFonts w:hint="eastAsia" w:ascii="仿宋" w:hAnsi="仿宋" w:eastAsia="仿宋" w:cs="仿宋"/>
                <w:kern w:val="0"/>
                <w:sz w:val="28"/>
                <w:szCs w:val="28"/>
              </w:rPr>
              <w:t>7.5.3用人单位的满意度</w:t>
            </w:r>
          </w:p>
        </w:tc>
      </w:tr>
    </w:tbl>
    <w:p>
      <w:pPr>
        <w:spacing w:line="300" w:lineRule="exact"/>
        <w:rPr>
          <w:rFonts w:ascii="Times New Roman" w:hAnsi="Times New Roman" w:cs="宋体"/>
          <w:b/>
          <w:kern w:val="0"/>
          <w:szCs w:val="21"/>
        </w:rPr>
      </w:pPr>
    </w:p>
    <w:p>
      <w:pPr>
        <w:adjustRightInd w:val="0"/>
        <w:snapToGrid w:val="0"/>
        <w:spacing w:line="400" w:lineRule="exact"/>
        <w:rPr>
          <w:rFonts w:ascii="仿宋" w:hAnsi="仿宋" w:eastAsia="仿宋" w:cs="仿宋"/>
          <w:b/>
          <w:kern w:val="0"/>
          <w:sz w:val="28"/>
          <w:szCs w:val="28"/>
        </w:rPr>
      </w:pPr>
      <w:r>
        <w:rPr>
          <w:rFonts w:hint="eastAsia" w:ascii="仿宋" w:hAnsi="仿宋" w:eastAsia="仿宋" w:cs="仿宋"/>
          <w:b/>
          <w:kern w:val="0"/>
          <w:sz w:val="28"/>
          <w:szCs w:val="28"/>
        </w:rPr>
        <w:t>备注：</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1.第二类审核评估分为三种，学校可根据自身实际情况，选择且只能选择其中一种。</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2.二级指标和审核重点包括统一必选项、类型必选项、特色可选项、首评限选项。</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——“统一必选项”无特殊标识，所有高校必须选择；</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——“类型必选项”标识“B”，选择第一种的高校须统一选择“B1”，选择第二种的高校须统一选择“B2”；选择第三种的高校原则上选择“B2”；</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——“特色可选项”标识“K”，高校可根据办学定位和人才培养目标自主选择，其中：第一种与“K1”选项对应，第二种与“K2”选项对应；第三种原则上与“K2”选项对应；</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——“首评限选项”标识“X”，选择第三种的高校必须选择，其他高校不用选择。</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3.审核重点中定量指标的具体要求可参考国家相关标准。其中，【必选】是指该定量指标学校必须选择；【可选】是指该定量指标学校可根据自身发展需要和实际情况自主选择至少8项。</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4.表中定量指标计算原则上参照《中国教育监测与评价统计指标体系（2020年版）》（教发〔2020〕6号）。</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5.生均年教学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6.年新增教学科研仪器设备所占比例（参照教育部教发〔2004〕2号文件）：年新增教学科研仪器设备所占比例≥10%。凡教学仪器设备总值超过1亿元的高校，当年新增教学仪器设备值超过1000万元，该项指标即为合格。</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7.生均教学科研仪器设备值=普通高校教学与科研仪器设备总资产值/折合在校生数（参照教育部教发〔2004〕2号文件），综合、师范、民族院校，工科、农、林院校和医学院校≥5000元/生，体育、艺术院校≥4000元/生，语文、财经、政法院校≥3000元/生。</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8.生师比=折合在校生数/专任教师总数（参照教育部教发〔2004〕2号文件），综合、师范、民族院校，工科、农、林院校和语文、财经、政法院校≤18:1；医学院校≤16:1；体育、艺术院校≤11:1。</w:t>
      </w:r>
    </w:p>
    <w:p>
      <w:pPr>
        <w:adjustRightInd w:val="0"/>
        <w:snapToGrid w:val="0"/>
        <w:spacing w:line="4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adjustRightInd w:val="0"/>
        <w:snapToGrid w:val="0"/>
        <w:spacing w:line="400" w:lineRule="exact"/>
        <w:ind w:firstLine="560" w:firstLineChars="200"/>
        <w:rPr>
          <w:rFonts w:ascii="Times New Roman" w:hAnsi="Times New Roman" w:eastAsia="宋体" w:cs="Times New Roman"/>
          <w:bCs/>
          <w:sz w:val="30"/>
          <w:szCs w:val="30"/>
        </w:rPr>
      </w:pPr>
      <w:r>
        <w:rPr>
          <w:rFonts w:hint="eastAsia" w:ascii="仿宋" w:hAnsi="仿宋" w:eastAsia="仿宋" w:cs="仿宋"/>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footerReference r:id="rId3"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- 4 -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- 4 -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4738A0"/>
    <w:rsid w:val="00033FC6"/>
    <w:rsid w:val="000370E0"/>
    <w:rsid w:val="00054A78"/>
    <w:rsid w:val="001C5265"/>
    <w:rsid w:val="002329CA"/>
    <w:rsid w:val="00320305"/>
    <w:rsid w:val="00353EDB"/>
    <w:rsid w:val="00386C9D"/>
    <w:rsid w:val="003A54E7"/>
    <w:rsid w:val="004068FD"/>
    <w:rsid w:val="004738A0"/>
    <w:rsid w:val="00494677"/>
    <w:rsid w:val="004E0A93"/>
    <w:rsid w:val="004E1A55"/>
    <w:rsid w:val="004E3453"/>
    <w:rsid w:val="00501334"/>
    <w:rsid w:val="00534E30"/>
    <w:rsid w:val="00571153"/>
    <w:rsid w:val="00593737"/>
    <w:rsid w:val="005976F4"/>
    <w:rsid w:val="005F634D"/>
    <w:rsid w:val="00643084"/>
    <w:rsid w:val="00656D9F"/>
    <w:rsid w:val="006A1064"/>
    <w:rsid w:val="006A5C5B"/>
    <w:rsid w:val="006B3C5D"/>
    <w:rsid w:val="006F6C6F"/>
    <w:rsid w:val="0076782F"/>
    <w:rsid w:val="00794AA6"/>
    <w:rsid w:val="007A45B8"/>
    <w:rsid w:val="00820C46"/>
    <w:rsid w:val="00855FE7"/>
    <w:rsid w:val="008C7AF5"/>
    <w:rsid w:val="00901294"/>
    <w:rsid w:val="0090357D"/>
    <w:rsid w:val="009142E9"/>
    <w:rsid w:val="009A5079"/>
    <w:rsid w:val="00A123A7"/>
    <w:rsid w:val="00A33F1E"/>
    <w:rsid w:val="00A67D02"/>
    <w:rsid w:val="00AA1777"/>
    <w:rsid w:val="00AA68A8"/>
    <w:rsid w:val="00AB5029"/>
    <w:rsid w:val="00AD3207"/>
    <w:rsid w:val="00AE38B0"/>
    <w:rsid w:val="00AF3E9A"/>
    <w:rsid w:val="00B4432E"/>
    <w:rsid w:val="00B4794B"/>
    <w:rsid w:val="00BA2104"/>
    <w:rsid w:val="00BC187E"/>
    <w:rsid w:val="00BF2A3E"/>
    <w:rsid w:val="00CC45CD"/>
    <w:rsid w:val="00D63F42"/>
    <w:rsid w:val="00DA0886"/>
    <w:rsid w:val="00DE57DD"/>
    <w:rsid w:val="00E15FB0"/>
    <w:rsid w:val="00E8246C"/>
    <w:rsid w:val="00E95B16"/>
    <w:rsid w:val="00F76E26"/>
    <w:rsid w:val="00FA2D26"/>
    <w:rsid w:val="028A33A6"/>
    <w:rsid w:val="028E24D6"/>
    <w:rsid w:val="02C14034"/>
    <w:rsid w:val="052C659A"/>
    <w:rsid w:val="055E1B86"/>
    <w:rsid w:val="05E53031"/>
    <w:rsid w:val="06B1563D"/>
    <w:rsid w:val="07B866CB"/>
    <w:rsid w:val="08CA3ECB"/>
    <w:rsid w:val="0AB614DF"/>
    <w:rsid w:val="0B3A4199"/>
    <w:rsid w:val="0B8B296C"/>
    <w:rsid w:val="0BA41F74"/>
    <w:rsid w:val="0BC01FA5"/>
    <w:rsid w:val="0C2B6C2B"/>
    <w:rsid w:val="0D050BAF"/>
    <w:rsid w:val="0D8D3550"/>
    <w:rsid w:val="0DC560D9"/>
    <w:rsid w:val="0DD15160"/>
    <w:rsid w:val="0EAB6B2E"/>
    <w:rsid w:val="0F972F4B"/>
    <w:rsid w:val="0FEE1C92"/>
    <w:rsid w:val="104A3F06"/>
    <w:rsid w:val="10827D5C"/>
    <w:rsid w:val="112E5F4D"/>
    <w:rsid w:val="11591B32"/>
    <w:rsid w:val="11690DFA"/>
    <w:rsid w:val="11A07D46"/>
    <w:rsid w:val="14842A52"/>
    <w:rsid w:val="14915E3F"/>
    <w:rsid w:val="162D4C81"/>
    <w:rsid w:val="16410E4A"/>
    <w:rsid w:val="19837DAE"/>
    <w:rsid w:val="19A935E1"/>
    <w:rsid w:val="1AD40EC4"/>
    <w:rsid w:val="1AFC1190"/>
    <w:rsid w:val="1B3F492A"/>
    <w:rsid w:val="1B434989"/>
    <w:rsid w:val="1C8467FD"/>
    <w:rsid w:val="1CA4388D"/>
    <w:rsid w:val="1CB03FE0"/>
    <w:rsid w:val="1E985F12"/>
    <w:rsid w:val="1EAF39B0"/>
    <w:rsid w:val="1FCF7ECE"/>
    <w:rsid w:val="1FF70178"/>
    <w:rsid w:val="21932F9C"/>
    <w:rsid w:val="23E55585"/>
    <w:rsid w:val="244971A7"/>
    <w:rsid w:val="248E487F"/>
    <w:rsid w:val="2608165E"/>
    <w:rsid w:val="271844F5"/>
    <w:rsid w:val="2759265A"/>
    <w:rsid w:val="27611849"/>
    <w:rsid w:val="291B1B07"/>
    <w:rsid w:val="2A47126B"/>
    <w:rsid w:val="2A654A8E"/>
    <w:rsid w:val="2B0B6ED9"/>
    <w:rsid w:val="2BC568B5"/>
    <w:rsid w:val="2CE974A1"/>
    <w:rsid w:val="2CF25D47"/>
    <w:rsid w:val="2D3400A8"/>
    <w:rsid w:val="2E887340"/>
    <w:rsid w:val="2F432A92"/>
    <w:rsid w:val="30332E90"/>
    <w:rsid w:val="30916CA7"/>
    <w:rsid w:val="323D4C19"/>
    <w:rsid w:val="3307572F"/>
    <w:rsid w:val="33E23482"/>
    <w:rsid w:val="36373DB3"/>
    <w:rsid w:val="36DD7CB5"/>
    <w:rsid w:val="37CA7F80"/>
    <w:rsid w:val="37CC3FBB"/>
    <w:rsid w:val="38153E48"/>
    <w:rsid w:val="398E5256"/>
    <w:rsid w:val="3A392E39"/>
    <w:rsid w:val="3FC71CE9"/>
    <w:rsid w:val="40372082"/>
    <w:rsid w:val="415C79E3"/>
    <w:rsid w:val="41D12A0C"/>
    <w:rsid w:val="41E35E98"/>
    <w:rsid w:val="4256566D"/>
    <w:rsid w:val="45D76F1E"/>
    <w:rsid w:val="461E2EA8"/>
    <w:rsid w:val="46603901"/>
    <w:rsid w:val="467749BB"/>
    <w:rsid w:val="47527BEB"/>
    <w:rsid w:val="486C65BC"/>
    <w:rsid w:val="48CB00BA"/>
    <w:rsid w:val="49164601"/>
    <w:rsid w:val="4A423BCE"/>
    <w:rsid w:val="4AF614DF"/>
    <w:rsid w:val="4BE54893"/>
    <w:rsid w:val="4C455867"/>
    <w:rsid w:val="4D2A13FF"/>
    <w:rsid w:val="4D436706"/>
    <w:rsid w:val="510C4F82"/>
    <w:rsid w:val="518F491B"/>
    <w:rsid w:val="51E21A9A"/>
    <w:rsid w:val="52971EF5"/>
    <w:rsid w:val="52D42E63"/>
    <w:rsid w:val="53D12392"/>
    <w:rsid w:val="53DD3E15"/>
    <w:rsid w:val="542F0DA1"/>
    <w:rsid w:val="545E5D37"/>
    <w:rsid w:val="5494661B"/>
    <w:rsid w:val="55142657"/>
    <w:rsid w:val="5517248F"/>
    <w:rsid w:val="5597760C"/>
    <w:rsid w:val="569E585C"/>
    <w:rsid w:val="56DC7584"/>
    <w:rsid w:val="56FA2146"/>
    <w:rsid w:val="572A74FE"/>
    <w:rsid w:val="577B72E1"/>
    <w:rsid w:val="5AFF184A"/>
    <w:rsid w:val="5B116DCE"/>
    <w:rsid w:val="5D251BD6"/>
    <w:rsid w:val="5E263660"/>
    <w:rsid w:val="5E9F44DD"/>
    <w:rsid w:val="5EB63E6F"/>
    <w:rsid w:val="5FD36F6C"/>
    <w:rsid w:val="61721F43"/>
    <w:rsid w:val="626B0233"/>
    <w:rsid w:val="64B82FFF"/>
    <w:rsid w:val="64DB6CED"/>
    <w:rsid w:val="652F7C85"/>
    <w:rsid w:val="65746A2D"/>
    <w:rsid w:val="65AE1D92"/>
    <w:rsid w:val="660D5A9B"/>
    <w:rsid w:val="6646394A"/>
    <w:rsid w:val="68104574"/>
    <w:rsid w:val="69C336F8"/>
    <w:rsid w:val="6D2604A3"/>
    <w:rsid w:val="6D702B3C"/>
    <w:rsid w:val="6E14501E"/>
    <w:rsid w:val="70176120"/>
    <w:rsid w:val="70570D7E"/>
    <w:rsid w:val="70C7794F"/>
    <w:rsid w:val="747F7695"/>
    <w:rsid w:val="75E4115F"/>
    <w:rsid w:val="767A35C0"/>
    <w:rsid w:val="773421E6"/>
    <w:rsid w:val="795444F7"/>
    <w:rsid w:val="7A207A9D"/>
    <w:rsid w:val="7A35509C"/>
    <w:rsid w:val="7B6C51F1"/>
    <w:rsid w:val="7C4F3DF1"/>
    <w:rsid w:val="7DB948B3"/>
    <w:rsid w:val="7E4E00D8"/>
    <w:rsid w:val="7ECA4601"/>
    <w:rsid w:val="7FBD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24</Pages>
  <Words>12750</Words>
  <Characters>1616</Characters>
  <Lines>13</Lines>
  <Paragraphs>28</Paragraphs>
  <TotalTime>269</TotalTime>
  <ScaleCrop>false</ScaleCrop>
  <LinksUpToDate>false</LinksUpToDate>
  <CharactersWithSpaces>14338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2022-02-15T02:26:00Z</dcterms:created>
  <dc:creator>Windows User</dc:creator>
  <cp:lastModifiedBy>复杂简单</cp:lastModifiedBy>
  <cp:lastPrinted>2022-02-17T08:41:00Z</cp:lastPrinted>
  <dcterms:modified xsi:type="dcterms:W3CDTF">2023-09-02T09:31:43Z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0AA25671059E4F938E90067123476858_13</vt:lpwstr>
  </property>
</Properties>
</file>